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2.2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jc w:val="right"/>
        <w:rPr>
          <w:rFonts w:ascii="Times New Roman" w:hAnsi="Times New Roman" w:eastAsia="SimSun" w:cs="Times New Roman"/>
          <w:bCs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ru-RU"/>
        </w:rPr>
        <w:t xml:space="preserve">38.02.06 Финансы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БД.02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БД.02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110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0"/>
        <w:gridCol w:w="531"/>
        <w:gridCol w:w="6456"/>
        <w:gridCol w:w="1325"/>
        <w:gridCol w:w="1882"/>
      </w:tblGrid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724" w:hRule="atLeast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веке. Самобытность русской литературы. Романтизм – ведущее направление русской литературы 1-й половины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0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А.С.Пушкина.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А.С.Пушкина. Поэма «Медный всадник».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9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М.Ю. Лермонтова.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М.Ю. Лермонтова.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творчества Н.В. Гоголя в русской литературе.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Повесть «Портрет» Н.В. Гоголя.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 И.А. Гончарова. История романа «Обломов».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И.С. Тургенева.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Нравственная проблематика романа «Отцы и дети».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Роль М.Е. Салтыкова-Щедрина в истории русской литературы. «История одного города».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Л.Н. Толстого.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Роман-эпопея Л.Н. Толстого «Война и мир».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Творчество позднего периода Л.Н. Толстого.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А.П. Чехова.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Новый тип рассказа А.П.Чехова.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Драматургия  А.П.Чехова. Комедия «Вишневый сад».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ind w:left="720" w:hanging="0"/>
              <w:contextualSpacing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9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конспекта, подготовка реферата «Новаторство литературы ХХ века»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365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Реалистическое и символическое в прозе и поэзии И.А.Бунина.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Нравственные и социальные проблемы в рассказах А.И. Куприна.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Серебряный век как своеобразный «русский ренессанс».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Правда жизни в рассказах М.Горького. Новаторство Горького - драматурга.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Лирика А.А. Блока. Поэма «Двенадцать».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Литературные группировки и журналы.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Политика партии в области литературы в 20-е годы.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Поэтическая новизна лирики В.В. Маяковского.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6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Крестьянская поэзия 20-х годов. Художественное своеобразие творчества С.А.Есенина.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А.А. Фадеева. Роман «Разгром» (обзор).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Творчество М.А. Булгакова.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Роман М.А. Булгакова  «Мастер и Маргарита».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А.Н.Толстого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Жизненный и творческий путь М. А. Шолохова. Личность и судьба писателя. Основные мотивы раннего творчества М.А. Шолохова.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Роман-эпопея «Тихий Дон» М.А.Шолохова.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Литература периода Великой Отечественной войны и первых послевоенных лет. Общественно-культурная ситуация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Отражение конфликтов истории в судьбах героев. Поэзия 60-х годов.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А.И. Солженицына. Новый подход к изображению прошлого. Повесть «Один день Ивана Денисовича»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Художественное своеобразие прозы  А.В. Вампилова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60-х гг. ХХ века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2.7.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Особенности развития литературы 1980-х – 2000-х годов. Литература последних лет (обзор).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Споры о путях развития культуры. А. Арбузов, В. Розов, В. Ерофеев, В. Пелевин 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характеристика творчества.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lang w:val="ru-RU"/>
        </w:rPr>
        <w:t xml:space="preserve"> </w:t>
      </w:r>
      <w:r>
        <w:rPr/>
        <w:t xml:space="preserve">Агеносов В.В. и др. Русский язык и литература. Литература (углубленный уровень). 11 </w:t>
      </w:r>
      <w:r>
        <w:rPr>
          <w:lang w:val="ru-RU"/>
        </w:rPr>
        <w:t xml:space="preserve"> </w:t>
      </w:r>
      <w:r>
        <w:rPr/>
        <w:t>класс. — М., 2018.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— М., 2018.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Практикум / под ред И.Н. Сухих. — М., 2019.</w:t>
      </w:r>
    </w:p>
    <w:p>
      <w:pPr>
        <w:pStyle w:val="Style43"/>
        <w:ind w:left="142" w:right="743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42" w:right="508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42" w:right="494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142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/ под ред. Т.Ф.Курдюмовой. — М., 2018.</w:t>
      </w:r>
    </w:p>
    <w:p>
      <w:pPr>
        <w:pStyle w:val="Style43"/>
        <w:ind w:left="142" w:right="875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42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spacing w:before="41" w:after="0"/>
        <w:ind w:left="1036" w:hanging="1036"/>
        <w:rPr>
          <w:lang w:val="en-US"/>
        </w:rPr>
      </w:pPr>
      <w:hyperlink r:id="rId5">
        <w:r>
          <w:rPr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spacing w:before="137" w:after="0"/>
        <w:ind w:left="1036" w:hanging="1036"/>
        <w:contextualSpacing/>
        <w:rPr>
          <w:b/>
          <w:b/>
          <w:lang w:val="en-US" w:eastAsia="ru-RU"/>
        </w:rPr>
      </w:pPr>
      <w:hyperlink r:id="rId6">
        <w:r>
          <w:rPr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1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26</Pages>
  <Words>2507</Words>
  <Characters>17574</Characters>
  <CharactersWithSpaces>19808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2021-09-24T10:04:00Z</dcterms:created>
  <dc:creator>User</dc:creator>
  <dc:description/>
  <dc:language>ru-RU</dc:language>
  <cp:lastModifiedBy>507N1</cp:lastModifiedBy>
  <dcterms:modified xsi:type="dcterms:W3CDTF">2021-09-24T10:04:00Z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